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643914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643914">
        <w:rPr>
          <w:rFonts w:ascii="Arial" w:hAnsi="Arial" w:cs="Arial"/>
          <w:b/>
          <w:sz w:val="24"/>
          <w:szCs w:val="24"/>
        </w:rPr>
        <w:t>6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604AA6" w:rsidRPr="00604AA6">
        <w:rPr>
          <w:rFonts w:ascii="Arial" w:hAnsi="Arial" w:cs="Arial"/>
          <w:b/>
          <w:sz w:val="24"/>
          <w:szCs w:val="24"/>
        </w:rPr>
        <w:t xml:space="preserve">R4-2301323 </w:t>
      </w:r>
      <w:bookmarkStart w:id="0" w:name="_GoBack"/>
      <w:bookmarkEnd w:id="0"/>
    </w:p>
    <w:p w:rsidR="00DE55A0" w:rsidRPr="00807EF6" w:rsidRDefault="00643914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Greece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27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March 3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80D10" w:rsidRPr="00D80D10">
        <w:rPr>
          <w:rFonts w:ascii="Arial" w:hAnsi="Arial" w:cs="Arial"/>
          <w:lang w:val="en-US"/>
        </w:rPr>
        <w:t>D</w:t>
      </w:r>
      <w:r w:rsidR="006B6701">
        <w:rPr>
          <w:rFonts w:ascii="Arial" w:hAnsi="Arial" w:cs="Arial"/>
          <w:lang w:val="en-US"/>
        </w:rPr>
        <w:t>iscussion on improvement on SCell/SCG setup delay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67B42">
        <w:rPr>
          <w:rFonts w:ascii="Arial" w:hAnsi="Arial" w:cs="Arial"/>
          <w:lang w:val="en-US" w:eastAsia="ko-KR"/>
        </w:rPr>
        <w:t>9.</w:t>
      </w:r>
      <w:r w:rsidR="006B6701">
        <w:rPr>
          <w:rFonts w:ascii="Arial" w:hAnsi="Arial" w:cs="Arial"/>
          <w:lang w:val="en-US" w:eastAsia="ko-KR"/>
        </w:rPr>
        <w:t>2</w:t>
      </w:r>
      <w:r w:rsidR="0001664D">
        <w:rPr>
          <w:rFonts w:ascii="Arial" w:hAnsi="Arial" w:cs="Arial"/>
          <w:lang w:val="en-US" w:eastAsia="ko-KR"/>
        </w:rPr>
        <w:t>3.</w:t>
      </w:r>
      <w:r w:rsidR="006B6701">
        <w:rPr>
          <w:rFonts w:ascii="Arial" w:hAnsi="Arial" w:cs="Arial"/>
          <w:lang w:val="en-US" w:eastAsia="ko-KR"/>
        </w:rPr>
        <w:t>5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5E2BB0">
        <w:rPr>
          <w:rFonts w:ascii="Arial" w:hAnsi="Arial" w:cs="Arial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5E2BB0" w:rsidRDefault="00812EBD" w:rsidP="005E2BB0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 </w:t>
      </w:r>
      <w:r w:rsidR="005E2BB0">
        <w:rPr>
          <w:lang w:val="en-US" w:eastAsia="ko-KR"/>
        </w:rPr>
        <w:t xml:space="preserve">In this contribution, we provide our views on </w:t>
      </w:r>
      <w:r w:rsidR="00333694">
        <w:rPr>
          <w:lang w:val="en-US" w:eastAsia="ko-KR"/>
        </w:rPr>
        <w:t>improvement on SCell/SCG Setup delay.</w:t>
      </w:r>
    </w:p>
    <w:p w:rsidR="00683CAB" w:rsidRDefault="00683CAB" w:rsidP="00662107">
      <w:pPr>
        <w:pStyle w:val="a0"/>
        <w:jc w:val="both"/>
        <w:rPr>
          <w:lang w:val="en-US" w:eastAsia="ko-KR"/>
        </w:rPr>
      </w:pPr>
    </w:p>
    <w:p w:rsidR="006C36D4" w:rsidRDefault="005E2BB0" w:rsidP="00CB4799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:rsidR="00BA3032" w:rsidRDefault="00A81E43" w:rsidP="000D5DC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In R</w:t>
      </w:r>
      <w:r w:rsidR="00333694">
        <w:rPr>
          <w:lang w:val="en-US" w:eastAsia="ko-KR"/>
        </w:rPr>
        <w:t xml:space="preserve">AN #98[1], following revised </w:t>
      </w:r>
      <w:r>
        <w:rPr>
          <w:lang w:val="en-US" w:eastAsia="ko-KR"/>
        </w:rPr>
        <w:t>WID</w:t>
      </w:r>
      <w:r w:rsidR="00123C9E">
        <w:rPr>
          <w:lang w:val="en-US" w:eastAsia="ko-KR"/>
        </w:rPr>
        <w:t xml:space="preserve"> wa</w:t>
      </w:r>
      <w:r w:rsidR="00333694">
        <w:rPr>
          <w:lang w:val="en-US" w:eastAsia="ko-KR"/>
        </w:rPr>
        <w:t>s</w:t>
      </w:r>
      <w:r>
        <w:rPr>
          <w:lang w:val="en-US" w:eastAsia="ko-KR"/>
        </w:rPr>
        <w:t xml:space="preserve"> approved</w:t>
      </w:r>
      <w:r w:rsidR="00333694">
        <w:rPr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81E43" w:rsidTr="00A81E43">
        <w:tc>
          <w:tcPr>
            <w:tcW w:w="9855" w:type="dxa"/>
          </w:tcPr>
          <w:p w:rsidR="00A81E43" w:rsidRPr="00A81E43" w:rsidRDefault="00A81E43" w:rsidP="00A81E43">
            <w:pPr>
              <w:pStyle w:val="ac"/>
              <w:numPr>
                <w:ilvl w:val="0"/>
                <w:numId w:val="23"/>
              </w:numPr>
              <w:spacing w:before="0" w:beforeAutospacing="0" w:after="0" w:afterAutospacing="0"/>
              <w:rPr>
                <w:rStyle w:val="af3"/>
                <w:rFonts w:ascii="Times New Roman" w:eastAsia="PMingLiU" w:hAnsi="Times New Roman" w:cs="Times New Roman"/>
                <w:i w:val="0"/>
                <w:sz w:val="20"/>
                <w:szCs w:val="20"/>
                <w:lang w:val="en-GB" w:eastAsia="en-GB"/>
              </w:rPr>
            </w:pPr>
            <w:r w:rsidRPr="00A81E43">
              <w:rPr>
                <w:rStyle w:val="af3"/>
                <w:rFonts w:ascii="Times New Roman" w:eastAsia="PMingLiU" w:hAnsi="Times New Roman" w:cs="Times New Roman"/>
                <w:i w:val="0"/>
                <w:sz w:val="20"/>
                <w:szCs w:val="20"/>
                <w:lang w:val="en-GB" w:eastAsia="en-GB"/>
              </w:rPr>
              <w:t>To study and specify how to reuse the IDLE/INACTIVE mode measurement results which are to be reported during and/or after RRC connection setup/resume in order to improve SCell/SCG setup delay [RAN4, RAN2], including:</w:t>
            </w:r>
          </w:p>
          <w:p w:rsidR="00A81E43" w:rsidRPr="00A81E43" w:rsidRDefault="00A81E43" w:rsidP="00A81E43">
            <w:pPr>
              <w:pStyle w:val="ac"/>
              <w:numPr>
                <w:ilvl w:val="0"/>
                <w:numId w:val="25"/>
              </w:numPr>
              <w:spacing w:before="0" w:beforeAutospacing="0" w:after="0" w:afterAutospacing="0"/>
              <w:rPr>
                <w:rStyle w:val="af3"/>
                <w:rFonts w:ascii="Times New Roman" w:eastAsia="PMingLiU" w:hAnsi="Times New Roman" w:cs="Times New Roman"/>
                <w:i w:val="0"/>
                <w:sz w:val="20"/>
                <w:szCs w:val="20"/>
                <w:lang w:val="en-GB" w:eastAsia="en-GB"/>
              </w:rPr>
            </w:pPr>
            <w:r w:rsidRPr="00A81E43">
              <w:rPr>
                <w:rStyle w:val="af3"/>
                <w:rFonts w:ascii="Times New Roman" w:eastAsia="PMingLiU" w:hAnsi="Times New Roman" w:cs="Times New Roman"/>
                <w:i w:val="0"/>
                <w:sz w:val="20"/>
                <w:szCs w:val="20"/>
                <w:lang w:val="en-GB" w:eastAsia="en-GB"/>
              </w:rPr>
              <w:t>Availability and validation of the IDLE/INACTIVE mode measurement results to be reported [RAN4]; and</w:t>
            </w:r>
          </w:p>
          <w:p w:rsidR="00A81E43" w:rsidRPr="00A81E43" w:rsidRDefault="00A81E43" w:rsidP="00A81E43">
            <w:pPr>
              <w:pStyle w:val="ac"/>
              <w:numPr>
                <w:ilvl w:val="0"/>
                <w:numId w:val="25"/>
              </w:numPr>
              <w:spacing w:before="0" w:beforeAutospacing="0" w:after="0" w:afterAutospacing="0"/>
              <w:rPr>
                <w:rStyle w:val="af3"/>
                <w:rFonts w:ascii="Times New Roman" w:eastAsia="PMingLiU" w:hAnsi="Times New Roman" w:cs="Times New Roman"/>
                <w:i w:val="0"/>
                <w:sz w:val="20"/>
                <w:szCs w:val="20"/>
                <w:lang w:val="en-GB" w:eastAsia="en-GB"/>
              </w:rPr>
            </w:pPr>
            <w:r w:rsidRPr="00A81E43">
              <w:rPr>
                <w:rStyle w:val="af3"/>
                <w:rFonts w:ascii="Times New Roman" w:eastAsia="PMingLiU" w:hAnsi="Times New Roman" w:cs="Times New Roman"/>
                <w:i w:val="0"/>
                <w:sz w:val="20"/>
                <w:szCs w:val="20"/>
                <w:lang w:val="en-GB" w:eastAsia="en-GB"/>
              </w:rPr>
              <w:t>Definition of corresponding RRM requirements [RAN4]; and</w:t>
            </w:r>
          </w:p>
          <w:p w:rsidR="00A81E43" w:rsidRPr="00A81E43" w:rsidRDefault="00A81E43" w:rsidP="00A81E43">
            <w:pPr>
              <w:pStyle w:val="ac"/>
              <w:numPr>
                <w:ilvl w:val="0"/>
                <w:numId w:val="25"/>
              </w:numPr>
              <w:spacing w:before="0" w:beforeAutospacing="0" w:after="0" w:afterAutospacing="0"/>
              <w:rPr>
                <w:rStyle w:val="af3"/>
                <w:rFonts w:ascii="Times New Roman" w:eastAsia="PMingLiU" w:hAnsi="Times New Roman" w:cs="Times New Roman"/>
                <w:i w:val="0"/>
                <w:sz w:val="20"/>
                <w:szCs w:val="20"/>
                <w:lang w:val="en-GB" w:eastAsia="en-GB"/>
              </w:rPr>
            </w:pPr>
            <w:r w:rsidRPr="00A81E43">
              <w:rPr>
                <w:rStyle w:val="af3"/>
                <w:rFonts w:ascii="Times New Roman" w:eastAsia="PMingLiU" w:hAnsi="Times New Roman" w:cs="Times New Roman"/>
                <w:i w:val="0"/>
                <w:sz w:val="20"/>
                <w:szCs w:val="20"/>
                <w:lang w:val="en-GB" w:eastAsia="en-GB"/>
              </w:rPr>
              <w:t>If necessary based on RAN4 outcome, definition of corresponding signalling support [RAN2].</w:t>
            </w:r>
          </w:p>
          <w:p w:rsidR="00A81E43" w:rsidRPr="00A81E43" w:rsidRDefault="00A81E43" w:rsidP="00A81E43">
            <w:pPr>
              <w:pStyle w:val="ac"/>
              <w:spacing w:before="0" w:beforeAutospacing="0" w:after="0" w:afterAutospacing="0"/>
              <w:ind w:left="720"/>
              <w:rPr>
                <w:rStyle w:val="af3"/>
                <w:rFonts w:ascii="Times New Roman" w:eastAsia="PMingLiU" w:hAnsi="Times New Roman" w:cs="Times New Roman"/>
                <w:sz w:val="20"/>
                <w:szCs w:val="20"/>
                <w:lang w:val="en-GB" w:eastAsia="en-GB"/>
              </w:rPr>
            </w:pPr>
          </w:p>
          <w:p w:rsidR="00A81E43" w:rsidRPr="00A81E43" w:rsidRDefault="00A81E43" w:rsidP="00A81E43">
            <w:pPr>
              <w:pStyle w:val="ac"/>
              <w:spacing w:before="0" w:beforeAutospacing="0" w:after="0" w:afterAutospacing="0"/>
              <w:ind w:left="720"/>
              <w:rPr>
                <w:rStyle w:val="af3"/>
                <w:rFonts w:ascii="Times New Roman" w:eastAsia="PMingLiU" w:hAnsi="Times New Roman" w:cs="Times New Roman"/>
                <w:sz w:val="20"/>
                <w:szCs w:val="20"/>
                <w:lang w:val="en-GB" w:eastAsia="en-GB"/>
              </w:rPr>
            </w:pPr>
            <w:r w:rsidRPr="00A81E43">
              <w:rPr>
                <w:rStyle w:val="af3"/>
                <w:rFonts w:ascii="Times New Roman" w:eastAsia="PMingLiU" w:hAnsi="Times New Roman" w:cs="Times New Roman"/>
                <w:sz w:val="20"/>
                <w:szCs w:val="20"/>
                <w:lang w:val="en-GB" w:eastAsia="en-GB"/>
              </w:rPr>
              <w:t>Note 5: RAN4 will coordinate in due course with RAN2 to start the work.</w:t>
            </w:r>
          </w:p>
          <w:p w:rsidR="00A81E43" w:rsidRPr="00A81E43" w:rsidRDefault="00A81E43" w:rsidP="00A81E43">
            <w:pPr>
              <w:pStyle w:val="ac"/>
              <w:spacing w:before="0" w:beforeAutospacing="0" w:after="0" w:afterAutospacing="0"/>
              <w:ind w:left="720"/>
              <w:rPr>
                <w:rStyle w:val="af3"/>
                <w:rFonts w:ascii="Times New Roman" w:eastAsia="PMingLiU" w:hAnsi="Times New Roman" w:cs="Times New Roman"/>
                <w:sz w:val="20"/>
                <w:szCs w:val="20"/>
                <w:lang w:val="en-GB" w:eastAsia="en-GB"/>
              </w:rPr>
            </w:pPr>
            <w:r w:rsidRPr="00A81E43">
              <w:rPr>
                <w:rStyle w:val="af3"/>
                <w:rFonts w:ascii="Times New Roman" w:eastAsia="PMingLiU" w:hAnsi="Times New Roman" w:cs="Times New Roman"/>
                <w:sz w:val="20"/>
                <w:szCs w:val="20"/>
                <w:lang w:val="en-GB" w:eastAsia="en-GB"/>
              </w:rPr>
              <w:t>Note 6: R4-2220415 serves as baseline for future work in RAN4</w:t>
            </w:r>
          </w:p>
          <w:p w:rsidR="00A81E43" w:rsidRPr="00A81E43" w:rsidRDefault="00A81E43" w:rsidP="00A81E43">
            <w:pPr>
              <w:pStyle w:val="ac"/>
              <w:spacing w:before="0" w:beforeAutospacing="0" w:after="0" w:afterAutospacing="0"/>
              <w:ind w:left="720"/>
            </w:pPr>
            <w:r w:rsidRPr="00A81E43">
              <w:rPr>
                <w:rStyle w:val="af3"/>
                <w:rFonts w:ascii="Times New Roman" w:eastAsia="PMingLiU" w:hAnsi="Times New Roman" w:cs="Times New Roman"/>
                <w:sz w:val="20"/>
                <w:szCs w:val="20"/>
                <w:lang w:val="en-GB" w:eastAsia="en-GB"/>
              </w:rPr>
              <w:t>Note 7: With exception of the above scenarios, enhancements on IDLE/INACTIVE mode measurements and on UE behavior in IDLE/INACTIVE mode are not in scope.</w:t>
            </w:r>
          </w:p>
        </w:tc>
      </w:tr>
    </w:tbl>
    <w:p w:rsidR="00A81E43" w:rsidRDefault="00A81E43" w:rsidP="000D5DCF">
      <w:pPr>
        <w:pStyle w:val="a0"/>
        <w:rPr>
          <w:lang w:val="en-US" w:eastAsia="ko-KR"/>
        </w:rPr>
      </w:pPr>
    </w:p>
    <w:p w:rsidR="00123C9E" w:rsidRDefault="00123C9E" w:rsidP="000D5DC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Also</w:t>
      </w:r>
      <w:r>
        <w:rPr>
          <w:lang w:val="en-US" w:eastAsia="ko-KR"/>
        </w:rPr>
        <w:t>, following issue was discussed in RAN4 #105.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23C9E" w:rsidTr="00123C9E">
        <w:tc>
          <w:tcPr>
            <w:tcW w:w="9855" w:type="dxa"/>
          </w:tcPr>
          <w:p w:rsidR="00123C9E" w:rsidRPr="006B1883" w:rsidRDefault="00123C9E" w:rsidP="00123C9E">
            <w:pPr>
              <w:rPr>
                <w:b/>
                <w:color w:val="000000"/>
                <w:u w:val="single"/>
                <w:lang w:val="sv-SE" w:eastAsia="ko-KR"/>
              </w:rPr>
            </w:pPr>
            <w:r w:rsidRPr="006B1883">
              <w:rPr>
                <w:b/>
                <w:color w:val="000000"/>
                <w:u w:val="single"/>
                <w:lang w:val="sv-SE" w:eastAsia="ko-KR"/>
              </w:rPr>
              <w:t>Issue 1-</w:t>
            </w:r>
            <w:r>
              <w:rPr>
                <w:b/>
                <w:color w:val="000000"/>
                <w:u w:val="single"/>
                <w:lang w:val="sv-SE" w:eastAsia="ko-KR"/>
              </w:rPr>
              <w:t>3</w:t>
            </w:r>
            <w:r w:rsidRPr="006B1883">
              <w:rPr>
                <w:b/>
                <w:color w:val="000000"/>
                <w:u w:val="single"/>
                <w:lang w:val="sv-SE" w:eastAsia="ko-KR"/>
              </w:rPr>
              <w:t xml:space="preserve">: scope of the study </w:t>
            </w:r>
            <w:r>
              <w:rPr>
                <w:b/>
                <w:color w:val="000000"/>
                <w:u w:val="single"/>
                <w:lang w:val="sv-SE" w:eastAsia="ko-KR"/>
              </w:rPr>
              <w:t>regarding</w:t>
            </w:r>
            <w:r w:rsidRPr="006B1883">
              <w:rPr>
                <w:b/>
                <w:color w:val="000000"/>
                <w:u w:val="single"/>
                <w:lang w:val="sv-SE" w:eastAsia="ko-KR"/>
              </w:rPr>
              <w:t xml:space="preserve"> CA/DC</w:t>
            </w:r>
          </w:p>
          <w:p w:rsidR="00123C9E" w:rsidRDefault="00123C9E" w:rsidP="00123C9E">
            <w:pPr>
              <w:numPr>
                <w:ilvl w:val="0"/>
                <w:numId w:val="26"/>
              </w:numPr>
              <w:spacing w:after="180"/>
              <w:rPr>
                <w:b/>
                <w:color w:val="000000"/>
                <w:lang w:val="en-US" w:eastAsia="ko-KR"/>
              </w:rPr>
            </w:pPr>
            <w:r w:rsidRPr="00BC5C22">
              <w:rPr>
                <w:b/>
                <w:color w:val="000000"/>
                <w:lang w:val="en-US" w:eastAsia="ko-KR"/>
              </w:rPr>
              <w:t>&lt;Wayforward&gt;</w:t>
            </w:r>
            <w:r>
              <w:rPr>
                <w:b/>
                <w:color w:val="000000"/>
                <w:lang w:val="en-US" w:eastAsia="ko-KR"/>
              </w:rPr>
              <w:t>:</w:t>
            </w:r>
            <w:r w:rsidRPr="00714A95">
              <w:rPr>
                <w:bCs/>
                <w:color w:val="000000"/>
                <w:lang w:val="en-US" w:eastAsia="ko-KR"/>
              </w:rPr>
              <w:t xml:space="preserve"> companies are encouraged to further discuss the following issues</w:t>
            </w:r>
          </w:p>
          <w:p w:rsidR="00123C9E" w:rsidRPr="00123C9E" w:rsidRDefault="00123C9E" w:rsidP="00123C9E">
            <w:pPr>
              <w:numPr>
                <w:ilvl w:val="1"/>
                <w:numId w:val="26"/>
              </w:numPr>
              <w:spacing w:after="180"/>
              <w:rPr>
                <w:lang w:val="sv-SE" w:eastAsia="ko-KR"/>
              </w:rPr>
            </w:pPr>
            <w:r>
              <w:rPr>
                <w:bCs/>
                <w:color w:val="000000"/>
                <w:lang w:val="sv-SE" w:eastAsia="ko-KR"/>
              </w:rPr>
              <w:t>Issue 1-3-1: whether target cell in FR1 needs to be considered</w:t>
            </w:r>
          </w:p>
        </w:tc>
      </w:tr>
    </w:tbl>
    <w:p w:rsidR="00123C9E" w:rsidRDefault="00123C9E" w:rsidP="000D5DCF">
      <w:pPr>
        <w:pStyle w:val="a0"/>
        <w:rPr>
          <w:lang w:val="en-US" w:eastAsia="ko-KR"/>
        </w:rPr>
      </w:pPr>
    </w:p>
    <w:p w:rsidR="00123C9E" w:rsidRDefault="00123C9E" w:rsidP="000D5DCF">
      <w:pPr>
        <w:pStyle w:val="a0"/>
        <w:rPr>
          <w:rStyle w:val="af3"/>
          <w:rFonts w:eastAsia="PMingLiU"/>
          <w:i w:val="0"/>
          <w:lang w:eastAsia="en-GB"/>
        </w:rPr>
      </w:pPr>
      <w:r>
        <w:rPr>
          <w:rFonts w:hint="eastAsia"/>
          <w:lang w:val="en-US" w:eastAsia="ko-KR"/>
        </w:rPr>
        <w:t>Since</w:t>
      </w:r>
      <w:r>
        <w:rPr>
          <w:lang w:val="en-US" w:eastAsia="ko-KR"/>
        </w:rPr>
        <w:t xml:space="preserve"> RAN4 study the </w:t>
      </w:r>
      <w:r w:rsidRPr="00A81E43">
        <w:rPr>
          <w:rStyle w:val="af3"/>
          <w:rFonts w:eastAsia="PMingLiU"/>
          <w:i w:val="0"/>
          <w:lang w:eastAsia="en-GB"/>
        </w:rPr>
        <w:t>availability and validation of the IDLE/INACTIVE mode measurement results</w:t>
      </w:r>
      <w:r>
        <w:rPr>
          <w:rStyle w:val="af3"/>
          <w:rFonts w:eastAsia="PMingLiU"/>
          <w:i w:val="0"/>
          <w:lang w:eastAsia="en-GB"/>
        </w:rPr>
        <w:t>, it does not need to limit this work item to FR2. So, RAN4 needs to consider target cell in FR1.</w:t>
      </w:r>
    </w:p>
    <w:p w:rsidR="00123C9E" w:rsidRPr="00123C9E" w:rsidRDefault="00123C9E" w:rsidP="00123C9E">
      <w:pPr>
        <w:pStyle w:val="a0"/>
        <w:numPr>
          <w:ilvl w:val="0"/>
          <w:numId w:val="15"/>
        </w:numPr>
        <w:rPr>
          <w:lang w:val="en-US" w:eastAsia="ko-KR"/>
        </w:rPr>
      </w:pPr>
      <w:r w:rsidRPr="000549BF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>: T</w:t>
      </w:r>
      <w:r>
        <w:rPr>
          <w:bCs/>
          <w:color w:val="000000"/>
          <w:lang w:val="sv-SE" w:eastAsia="ko-KR"/>
        </w:rPr>
        <w:t xml:space="preserve">arget cell in FR1 needs to be </w:t>
      </w:r>
      <w:r w:rsidR="0063376C">
        <w:rPr>
          <w:bCs/>
          <w:color w:val="000000"/>
          <w:lang w:val="sv-SE" w:eastAsia="ko-KR"/>
        </w:rPr>
        <w:t>included</w:t>
      </w:r>
      <w:r>
        <w:rPr>
          <w:bCs/>
          <w:color w:val="000000"/>
          <w:lang w:val="sv-SE" w:eastAsia="ko-KR"/>
        </w:rPr>
        <w:t xml:space="preserve"> in this WI.</w:t>
      </w:r>
    </w:p>
    <w:p w:rsidR="00123C9E" w:rsidRPr="00123C9E" w:rsidRDefault="00123C9E" w:rsidP="00123C9E">
      <w:pPr>
        <w:pStyle w:val="a0"/>
        <w:numPr>
          <w:ilvl w:val="0"/>
          <w:numId w:val="15"/>
        </w:numPr>
        <w:rPr>
          <w:lang w:val="en-US" w:eastAsia="ko-KR"/>
        </w:rPr>
      </w:pPr>
      <w:r w:rsidRPr="000549BF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2</w:t>
      </w:r>
      <w:r>
        <w:rPr>
          <w:lang w:val="en-US" w:eastAsia="ko-KR"/>
        </w:rPr>
        <w:t>: T</w:t>
      </w:r>
      <w:r>
        <w:rPr>
          <w:bCs/>
          <w:color w:val="000000"/>
          <w:lang w:val="sv-SE" w:eastAsia="ko-KR"/>
        </w:rPr>
        <w:t>arget</w:t>
      </w:r>
      <w:r w:rsidR="0063376C">
        <w:rPr>
          <w:bCs/>
          <w:color w:val="000000"/>
          <w:lang w:val="sv-SE" w:eastAsia="ko-KR"/>
        </w:rPr>
        <w:t xml:space="preserve"> cell in FR1 and in FR2 need to be considered with equal priority.</w:t>
      </w:r>
    </w:p>
    <w:p w:rsidR="00123C9E" w:rsidRDefault="00123C9E" w:rsidP="00123C9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For val</w:t>
      </w:r>
      <w:r>
        <w:rPr>
          <w:lang w:val="en-US" w:eastAsia="ko-KR"/>
        </w:rPr>
        <w:t>idity and availability, we think following issues can be discussed.</w:t>
      </w:r>
    </w:p>
    <w:p w:rsidR="00123C9E" w:rsidRDefault="00123C9E" w:rsidP="00123C9E">
      <w:pPr>
        <w:pStyle w:val="a0"/>
        <w:numPr>
          <w:ilvl w:val="0"/>
          <w:numId w:val="15"/>
        </w:numPr>
        <w:rPr>
          <w:lang w:val="en-US" w:eastAsia="ko-KR"/>
        </w:rPr>
      </w:pPr>
      <w:r w:rsidRPr="000549BF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3:</w:t>
      </w:r>
      <w:r>
        <w:rPr>
          <w:lang w:val="en-US" w:eastAsia="ko-KR"/>
        </w:rPr>
        <w:t xml:space="preserve"> Following issues can be discussed f</w:t>
      </w:r>
      <w:r>
        <w:rPr>
          <w:rFonts w:hint="eastAsia"/>
          <w:lang w:val="en-US" w:eastAsia="ko-KR"/>
        </w:rPr>
        <w:t>or val</w:t>
      </w:r>
      <w:r>
        <w:rPr>
          <w:lang w:val="en-US" w:eastAsia="ko-KR"/>
        </w:rPr>
        <w:t>idity and availability</w:t>
      </w:r>
    </w:p>
    <w:p w:rsidR="0063376C" w:rsidRPr="00123C9E" w:rsidRDefault="00123C9E" w:rsidP="0063376C">
      <w:pPr>
        <w:pStyle w:val="a0"/>
        <w:numPr>
          <w:ilvl w:val="1"/>
          <w:numId w:val="15"/>
        </w:numPr>
        <w:rPr>
          <w:lang w:val="en-US" w:eastAsia="ko-KR"/>
        </w:rPr>
      </w:pPr>
      <w:r>
        <w:rPr>
          <w:rFonts w:hint="eastAsia"/>
          <w:lang w:val="en-US" w:eastAsia="ko-KR"/>
        </w:rPr>
        <w:t>How to check</w:t>
      </w:r>
      <w:r>
        <w:rPr>
          <w:lang w:val="en-US" w:eastAsia="ko-KR"/>
        </w:rPr>
        <w:t>(or guarantee)</w:t>
      </w:r>
      <w:r w:rsidR="0063376C">
        <w:rPr>
          <w:rFonts w:hint="eastAsia"/>
          <w:lang w:val="en-US" w:eastAsia="ko-KR"/>
        </w:rPr>
        <w:t>/indicat</w:t>
      </w:r>
      <w:r w:rsidR="0063376C">
        <w:rPr>
          <w:lang w:val="en-US" w:eastAsia="ko-KR"/>
        </w:rPr>
        <w:t>e/report</w:t>
      </w:r>
    </w:p>
    <w:p w:rsidR="00123C9E" w:rsidRPr="00123C9E" w:rsidRDefault="00123C9E" w:rsidP="0063376C">
      <w:pPr>
        <w:pStyle w:val="a0"/>
        <w:ind w:left="1200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360280">
        <w:rPr>
          <w:lang w:val="en-US" w:eastAsia="ko-KR"/>
        </w:rPr>
        <w:t>as follows:</w:t>
      </w:r>
    </w:p>
    <w:p w:rsidR="00360280" w:rsidRPr="00123C9E" w:rsidRDefault="00360280" w:rsidP="00360280">
      <w:pPr>
        <w:pStyle w:val="a0"/>
        <w:numPr>
          <w:ilvl w:val="0"/>
          <w:numId w:val="15"/>
        </w:numPr>
        <w:rPr>
          <w:lang w:val="en-US" w:eastAsia="ko-KR"/>
        </w:rPr>
      </w:pPr>
      <w:r w:rsidRPr="000549BF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>: T</w:t>
      </w:r>
      <w:r>
        <w:rPr>
          <w:bCs/>
          <w:color w:val="000000"/>
          <w:lang w:val="sv-SE" w:eastAsia="ko-KR"/>
        </w:rPr>
        <w:t>arget cell in FR1 needs to be considered in this WI.</w:t>
      </w:r>
    </w:p>
    <w:p w:rsidR="000C438B" w:rsidRPr="00123C9E" w:rsidRDefault="000C438B" w:rsidP="000C438B">
      <w:pPr>
        <w:pStyle w:val="a0"/>
        <w:numPr>
          <w:ilvl w:val="0"/>
          <w:numId w:val="15"/>
        </w:numPr>
        <w:rPr>
          <w:lang w:val="en-US" w:eastAsia="ko-KR"/>
        </w:rPr>
      </w:pPr>
      <w:r w:rsidRPr="000549BF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2</w:t>
      </w:r>
      <w:r>
        <w:rPr>
          <w:lang w:val="en-US" w:eastAsia="ko-KR"/>
        </w:rPr>
        <w:t>: T</w:t>
      </w:r>
      <w:r>
        <w:rPr>
          <w:bCs/>
          <w:color w:val="000000"/>
          <w:lang w:val="sv-SE" w:eastAsia="ko-KR"/>
        </w:rPr>
        <w:t>arget cell in FR1 and in FR2 need to be considered with equal priority.</w:t>
      </w:r>
    </w:p>
    <w:p w:rsidR="0063376C" w:rsidRDefault="0063376C" w:rsidP="0063376C">
      <w:pPr>
        <w:pStyle w:val="a0"/>
        <w:numPr>
          <w:ilvl w:val="0"/>
          <w:numId w:val="15"/>
        </w:numPr>
        <w:rPr>
          <w:lang w:val="en-US" w:eastAsia="ko-KR"/>
        </w:rPr>
      </w:pPr>
      <w:r w:rsidRPr="000549BF">
        <w:rPr>
          <w:b/>
          <w:i/>
          <w:lang w:val="en-US" w:eastAsia="ko-KR"/>
        </w:rPr>
        <w:lastRenderedPageBreak/>
        <w:t xml:space="preserve">Proposal </w:t>
      </w:r>
      <w:r>
        <w:rPr>
          <w:b/>
          <w:i/>
          <w:lang w:val="en-US" w:eastAsia="ko-KR"/>
        </w:rPr>
        <w:t>3:</w:t>
      </w:r>
      <w:r>
        <w:rPr>
          <w:lang w:val="en-US" w:eastAsia="ko-KR"/>
        </w:rPr>
        <w:t xml:space="preserve"> Following issues can be discussed f</w:t>
      </w:r>
      <w:r>
        <w:rPr>
          <w:rFonts w:hint="eastAsia"/>
          <w:lang w:val="en-US" w:eastAsia="ko-KR"/>
        </w:rPr>
        <w:t>or val</w:t>
      </w:r>
      <w:r>
        <w:rPr>
          <w:lang w:val="en-US" w:eastAsia="ko-KR"/>
        </w:rPr>
        <w:t>idity and availability</w:t>
      </w:r>
    </w:p>
    <w:p w:rsidR="0063376C" w:rsidRPr="00123C9E" w:rsidRDefault="0063376C" w:rsidP="0063376C">
      <w:pPr>
        <w:pStyle w:val="a0"/>
        <w:numPr>
          <w:ilvl w:val="1"/>
          <w:numId w:val="15"/>
        </w:numPr>
        <w:rPr>
          <w:lang w:val="en-US" w:eastAsia="ko-KR"/>
        </w:rPr>
      </w:pPr>
      <w:r>
        <w:rPr>
          <w:rFonts w:hint="eastAsia"/>
          <w:lang w:val="en-US" w:eastAsia="ko-KR"/>
        </w:rPr>
        <w:t>How to check</w:t>
      </w:r>
      <w:r>
        <w:rPr>
          <w:lang w:val="en-US" w:eastAsia="ko-KR"/>
        </w:rPr>
        <w:t>(or guarantee)</w:t>
      </w:r>
      <w:r>
        <w:rPr>
          <w:rFonts w:hint="eastAsia"/>
          <w:lang w:val="en-US" w:eastAsia="ko-KR"/>
        </w:rPr>
        <w:t>/indicat</w:t>
      </w:r>
      <w:r>
        <w:rPr>
          <w:lang w:val="en-US" w:eastAsia="ko-KR"/>
        </w:rPr>
        <w:t>e/report</w:t>
      </w:r>
    </w:p>
    <w:p w:rsidR="00C6596A" w:rsidRPr="0063376C" w:rsidRDefault="00C6596A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Pr="00A81E43" w:rsidRDefault="00752799" w:rsidP="00CD0965">
      <w:pPr>
        <w:pStyle w:val="a0"/>
        <w:rPr>
          <w:lang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812EBD">
        <w:rPr>
          <w:lang w:val="en-US" w:eastAsia="ko-KR"/>
        </w:rPr>
        <w:t>R</w:t>
      </w:r>
      <w:r w:rsidR="00A81E43">
        <w:rPr>
          <w:lang w:val="en-US" w:eastAsia="ko-KR"/>
        </w:rPr>
        <w:t xml:space="preserve">P-223520 </w:t>
      </w:r>
      <w:r w:rsidR="00A81E43" w:rsidRPr="00A81E43">
        <w:rPr>
          <w:lang w:val="en-US" w:eastAsia="ko-KR"/>
        </w:rPr>
        <w:t>Revised WID on Further NR mobility enhancements</w:t>
      </w:r>
      <w:r w:rsidR="00A81E43">
        <w:rPr>
          <w:lang w:val="en-US" w:eastAsia="ko-KR"/>
        </w:rPr>
        <w:t xml:space="preserve">, </w:t>
      </w:r>
      <w:r w:rsidR="00A81E43" w:rsidRPr="00A81E43">
        <w:rPr>
          <w:lang w:val="en-US" w:eastAsia="ko-KR"/>
        </w:rPr>
        <w:t>MediaTek Inc., Apple</w:t>
      </w:r>
    </w:p>
    <w:sectPr w:rsidR="00752799" w:rsidRPr="00A81E43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DD7" w:rsidRDefault="006D2DD7" w:rsidP="00D306DF">
      <w:r>
        <w:separator/>
      </w:r>
    </w:p>
  </w:endnote>
  <w:endnote w:type="continuationSeparator" w:id="0">
    <w:p w:rsidR="006D2DD7" w:rsidRDefault="006D2DD7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DD7" w:rsidRDefault="006D2DD7" w:rsidP="00D306DF">
      <w:r>
        <w:separator/>
      </w:r>
    </w:p>
  </w:footnote>
  <w:footnote w:type="continuationSeparator" w:id="0">
    <w:p w:rsidR="006D2DD7" w:rsidRDefault="006D2DD7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3E35955"/>
    <w:multiLevelType w:val="hybridMultilevel"/>
    <w:tmpl w:val="94F4D6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34AB0"/>
    <w:multiLevelType w:val="hybridMultilevel"/>
    <w:tmpl w:val="F6C6B138"/>
    <w:lvl w:ilvl="0" w:tplc="04090003">
      <w:start w:val="1"/>
      <w:numFmt w:val="bullet"/>
      <w:lvlText w:val="o"/>
      <w:lvlJc w:val="left"/>
      <w:pPr>
        <w:ind w:left="152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C69545F"/>
    <w:multiLevelType w:val="hybridMultilevel"/>
    <w:tmpl w:val="307A112C"/>
    <w:lvl w:ilvl="0" w:tplc="04090001">
      <w:start w:val="1"/>
      <w:numFmt w:val="bullet"/>
      <w:lvlText w:val="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4" w15:restartNumberingAfterBreak="0">
    <w:nsid w:val="41495DD0"/>
    <w:multiLevelType w:val="hybridMultilevel"/>
    <w:tmpl w:val="FF54F598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9C20070A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9"/>
  </w:num>
  <w:num w:numId="4">
    <w:abstractNumId w:val="12"/>
  </w:num>
  <w:num w:numId="5">
    <w:abstractNumId w:val="8"/>
  </w:num>
  <w:num w:numId="6">
    <w:abstractNumId w:val="20"/>
  </w:num>
  <w:num w:numId="7">
    <w:abstractNumId w:val="17"/>
  </w:num>
  <w:num w:numId="8">
    <w:abstractNumId w:val="0"/>
  </w:num>
  <w:num w:numId="9">
    <w:abstractNumId w:val="25"/>
  </w:num>
  <w:num w:numId="10">
    <w:abstractNumId w:val="5"/>
  </w:num>
  <w:num w:numId="11">
    <w:abstractNumId w:val="23"/>
  </w:num>
  <w:num w:numId="12">
    <w:abstractNumId w:val="24"/>
  </w:num>
  <w:num w:numId="13">
    <w:abstractNumId w:val="11"/>
  </w:num>
  <w:num w:numId="14">
    <w:abstractNumId w:val="22"/>
  </w:num>
  <w:num w:numId="15">
    <w:abstractNumId w:val="14"/>
  </w:num>
  <w:num w:numId="16">
    <w:abstractNumId w:val="10"/>
  </w:num>
  <w:num w:numId="17">
    <w:abstractNumId w:val="16"/>
  </w:num>
  <w:num w:numId="18">
    <w:abstractNumId w:val="15"/>
  </w:num>
  <w:num w:numId="19">
    <w:abstractNumId w:val="2"/>
  </w:num>
  <w:num w:numId="20">
    <w:abstractNumId w:val="7"/>
  </w:num>
  <w:num w:numId="21">
    <w:abstractNumId w:val="21"/>
  </w:num>
  <w:num w:numId="22">
    <w:abstractNumId w:val="6"/>
  </w:num>
  <w:num w:numId="23">
    <w:abstractNumId w:val="18"/>
  </w:num>
  <w:num w:numId="24">
    <w:abstractNumId w:val="13"/>
  </w:num>
  <w:num w:numId="25">
    <w:abstractNumId w:val="3"/>
  </w:num>
  <w:num w:numId="2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MqgFAB+rFZg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64D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680"/>
    <w:rsid w:val="000760AA"/>
    <w:rsid w:val="00076911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54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B7F"/>
    <w:rsid w:val="000C438B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B30"/>
    <w:rsid w:val="00123C65"/>
    <w:rsid w:val="00123C9E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8F9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3D86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5F8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41B"/>
    <w:rsid w:val="0033172A"/>
    <w:rsid w:val="00332E03"/>
    <w:rsid w:val="00332F4E"/>
    <w:rsid w:val="00333694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280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22EB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CF0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33A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94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055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5B3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6CB2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05CC"/>
    <w:rsid w:val="005E1796"/>
    <w:rsid w:val="005E1F42"/>
    <w:rsid w:val="005E1F93"/>
    <w:rsid w:val="005E2BB0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4AA6"/>
    <w:rsid w:val="00606790"/>
    <w:rsid w:val="00606E40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376C"/>
    <w:rsid w:val="00634297"/>
    <w:rsid w:val="00635E0A"/>
    <w:rsid w:val="00636788"/>
    <w:rsid w:val="0063708D"/>
    <w:rsid w:val="0064053D"/>
    <w:rsid w:val="006413A4"/>
    <w:rsid w:val="00643914"/>
    <w:rsid w:val="00644ABF"/>
    <w:rsid w:val="00645F09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3528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95C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701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2DD7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56A"/>
    <w:rsid w:val="00717768"/>
    <w:rsid w:val="00720FB0"/>
    <w:rsid w:val="00723748"/>
    <w:rsid w:val="0072442F"/>
    <w:rsid w:val="007249CF"/>
    <w:rsid w:val="007249D7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46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16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67B42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6051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1E43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0E2A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4977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169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0D10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4B6A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64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190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character" w:styleId="af3">
    <w:name w:val="Emphasis"/>
    <w:uiPriority w:val="20"/>
    <w:qFormat/>
    <w:rsid w:val="00A81E4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AFD9E-E8C7-4EE7-A5AC-3BD9CC584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1433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Jinwoong Park</cp:lastModifiedBy>
  <cp:revision>65</cp:revision>
  <dcterms:created xsi:type="dcterms:W3CDTF">2022-09-30T06:42:00Z</dcterms:created>
  <dcterms:modified xsi:type="dcterms:W3CDTF">2023-02-17T08:03:00Z</dcterms:modified>
</cp:coreProperties>
</file>